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58240" behindDoc="0" locked="0" layoutInCell="1" allowOverlap="1" wp14:anchorId="482B47BA" wp14:editId="2570075C">
                <wp:simplePos x="0" y="0"/>
                <wp:positionH relativeFrom="column">
                  <wp:posOffset>1304925</wp:posOffset>
                </wp:positionH>
                <wp:positionV relativeFrom="paragraph">
                  <wp:posOffset>2332990</wp:posOffset>
                </wp:positionV>
                <wp:extent cx="3543300" cy="2571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571750"/>
                        </a:xfrm>
                        <a:prstGeom prst="rect">
                          <a:avLst/>
                        </a:prstGeom>
                        <a:solidFill>
                          <a:srgbClr val="FFFFFF"/>
                        </a:solidFill>
                        <a:ln w="9525">
                          <a:solidFill>
                            <a:srgbClr val="000000"/>
                          </a:solidFill>
                          <a:miter lim="800000"/>
                          <a:headEnd/>
                          <a:tailEnd/>
                        </a:ln>
                      </wps:spPr>
                      <wps:txbx>
                        <w:txbxContent>
                          <w:p w14:paraId="53988226" w14:textId="3C009C21" w:rsidR="002F23AF" w:rsidRPr="00FC3583" w:rsidRDefault="00C00439" w:rsidP="009E0CD4">
                            <w:pPr>
                              <w:jc w:val="center"/>
                              <w:rPr>
                                <w:b/>
                                <w:bCs/>
                                <w:sz w:val="56"/>
                                <w:szCs w:val="56"/>
                              </w:rPr>
                            </w:pPr>
                            <w:r w:rsidRPr="00C00439">
                              <w:rPr>
                                <w:b/>
                                <w:bCs/>
                                <w:sz w:val="56"/>
                                <w:szCs w:val="56"/>
                              </w:rPr>
                              <w:t>Employee Internet Use Monitoring and Filtering Policy</w:t>
                            </w:r>
                            <w:r w:rsidR="003B464E">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20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">
                <v:textbox>
                  <w:txbxContent>
                    <w:p w14:paraId="53988226" w14:textId="3C009C21" w:rsidR="002F23AF" w:rsidRPr="00FC3583" w:rsidRDefault="00C00439" w:rsidP="009E0CD4">
                      <w:pPr>
                        <w:jc w:val="center"/>
                        <w:rPr>
                          <w:b/>
                          <w:bCs/>
                          <w:sz w:val="56"/>
                          <w:szCs w:val="56"/>
                        </w:rPr>
                      </w:pPr>
                      <w:r w:rsidRPr="00C00439">
                        <w:rPr>
                          <w:b/>
                          <w:bCs/>
                          <w:sz w:val="56"/>
                          <w:szCs w:val="56"/>
                        </w:rPr>
                        <w:t>Employee Internet Use Monitoring and Filtering Policy</w:t>
                      </w:r>
                      <w:r w:rsidR="003B464E">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70C0B1BC" w14:textId="10C11CCF" w:rsidR="00014ABE" w:rsidRDefault="009E0CD4">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333756" w:history="1">
            <w:r w:rsidR="00014ABE" w:rsidRPr="00C25664">
              <w:rPr>
                <w:rStyle w:val="Hyperlink"/>
                <w:noProof/>
              </w:rPr>
              <w:t>1</w:t>
            </w:r>
            <w:r w:rsidR="00014ABE">
              <w:rPr>
                <w:rFonts w:eastAsiaTheme="minorEastAsia"/>
                <w:noProof/>
              </w:rPr>
              <w:tab/>
            </w:r>
            <w:r w:rsidR="00014ABE" w:rsidRPr="00C25664">
              <w:rPr>
                <w:rStyle w:val="Hyperlink"/>
                <w:noProof/>
              </w:rPr>
              <w:t>Purpose</w:t>
            </w:r>
            <w:r w:rsidR="00014ABE">
              <w:rPr>
                <w:noProof/>
                <w:webHidden/>
              </w:rPr>
              <w:tab/>
            </w:r>
            <w:r w:rsidR="00014ABE">
              <w:rPr>
                <w:noProof/>
                <w:webHidden/>
              </w:rPr>
              <w:fldChar w:fldCharType="begin"/>
            </w:r>
            <w:r w:rsidR="00014ABE">
              <w:rPr>
                <w:noProof/>
                <w:webHidden/>
              </w:rPr>
              <w:instrText xml:space="preserve"> PAGEREF _Toc63333756 \h </w:instrText>
            </w:r>
            <w:r w:rsidR="00014ABE">
              <w:rPr>
                <w:noProof/>
                <w:webHidden/>
              </w:rPr>
            </w:r>
            <w:r w:rsidR="00014ABE">
              <w:rPr>
                <w:noProof/>
                <w:webHidden/>
              </w:rPr>
              <w:fldChar w:fldCharType="separate"/>
            </w:r>
            <w:r w:rsidR="00014ABE">
              <w:rPr>
                <w:noProof/>
                <w:webHidden/>
              </w:rPr>
              <w:t>3</w:t>
            </w:r>
            <w:r w:rsidR="00014ABE">
              <w:rPr>
                <w:noProof/>
                <w:webHidden/>
              </w:rPr>
              <w:fldChar w:fldCharType="end"/>
            </w:r>
          </w:hyperlink>
        </w:p>
        <w:p w14:paraId="2B6F7022" w14:textId="4855A2AB" w:rsidR="00014ABE" w:rsidRDefault="001A2B02">
          <w:pPr>
            <w:pStyle w:val="TOC1"/>
            <w:tabs>
              <w:tab w:val="left" w:pos="440"/>
              <w:tab w:val="right" w:leader="dot" w:pos="9350"/>
            </w:tabs>
            <w:rPr>
              <w:rFonts w:eastAsiaTheme="minorEastAsia"/>
              <w:noProof/>
            </w:rPr>
          </w:pPr>
          <w:hyperlink w:anchor="_Toc63333757" w:history="1">
            <w:r w:rsidR="00014ABE" w:rsidRPr="00C25664">
              <w:rPr>
                <w:rStyle w:val="Hyperlink"/>
                <w:noProof/>
              </w:rPr>
              <w:t>2</w:t>
            </w:r>
            <w:r w:rsidR="00014ABE">
              <w:rPr>
                <w:rFonts w:eastAsiaTheme="minorEastAsia"/>
                <w:noProof/>
              </w:rPr>
              <w:tab/>
            </w:r>
            <w:r w:rsidR="00014ABE" w:rsidRPr="00C25664">
              <w:rPr>
                <w:rStyle w:val="Hyperlink"/>
                <w:noProof/>
              </w:rPr>
              <w:t>Scope</w:t>
            </w:r>
            <w:r w:rsidR="00014ABE">
              <w:rPr>
                <w:noProof/>
                <w:webHidden/>
              </w:rPr>
              <w:tab/>
            </w:r>
            <w:r w:rsidR="00014ABE">
              <w:rPr>
                <w:noProof/>
                <w:webHidden/>
              </w:rPr>
              <w:fldChar w:fldCharType="begin"/>
            </w:r>
            <w:r w:rsidR="00014ABE">
              <w:rPr>
                <w:noProof/>
                <w:webHidden/>
              </w:rPr>
              <w:instrText xml:space="preserve"> PAGEREF _Toc63333757 \h </w:instrText>
            </w:r>
            <w:r w:rsidR="00014ABE">
              <w:rPr>
                <w:noProof/>
                <w:webHidden/>
              </w:rPr>
            </w:r>
            <w:r w:rsidR="00014ABE">
              <w:rPr>
                <w:noProof/>
                <w:webHidden/>
              </w:rPr>
              <w:fldChar w:fldCharType="separate"/>
            </w:r>
            <w:r w:rsidR="00014ABE">
              <w:rPr>
                <w:noProof/>
                <w:webHidden/>
              </w:rPr>
              <w:t>3</w:t>
            </w:r>
            <w:r w:rsidR="00014ABE">
              <w:rPr>
                <w:noProof/>
                <w:webHidden/>
              </w:rPr>
              <w:fldChar w:fldCharType="end"/>
            </w:r>
          </w:hyperlink>
        </w:p>
        <w:p w14:paraId="6D2DA57C" w14:textId="129FB7E0" w:rsidR="00014ABE" w:rsidRDefault="001A2B02">
          <w:pPr>
            <w:pStyle w:val="TOC1"/>
            <w:tabs>
              <w:tab w:val="left" w:pos="440"/>
              <w:tab w:val="right" w:leader="dot" w:pos="9350"/>
            </w:tabs>
            <w:rPr>
              <w:rFonts w:eastAsiaTheme="minorEastAsia"/>
              <w:noProof/>
            </w:rPr>
          </w:pPr>
          <w:hyperlink w:anchor="_Toc63333758" w:history="1">
            <w:r w:rsidR="00014ABE" w:rsidRPr="00C25664">
              <w:rPr>
                <w:rStyle w:val="Hyperlink"/>
                <w:noProof/>
              </w:rPr>
              <w:t>3.</w:t>
            </w:r>
            <w:r w:rsidR="00014ABE">
              <w:rPr>
                <w:rFonts w:eastAsiaTheme="minorEastAsia"/>
                <w:noProof/>
              </w:rPr>
              <w:tab/>
            </w:r>
            <w:r w:rsidR="00014ABE" w:rsidRPr="00C25664">
              <w:rPr>
                <w:rStyle w:val="Hyperlink"/>
                <w:noProof/>
              </w:rPr>
              <w:t>Policy</w:t>
            </w:r>
            <w:r w:rsidR="00014ABE">
              <w:rPr>
                <w:noProof/>
                <w:webHidden/>
              </w:rPr>
              <w:tab/>
            </w:r>
            <w:r w:rsidR="00014ABE">
              <w:rPr>
                <w:noProof/>
                <w:webHidden/>
              </w:rPr>
              <w:fldChar w:fldCharType="begin"/>
            </w:r>
            <w:r w:rsidR="00014ABE">
              <w:rPr>
                <w:noProof/>
                <w:webHidden/>
              </w:rPr>
              <w:instrText xml:space="preserve"> PAGEREF _Toc63333758 \h </w:instrText>
            </w:r>
            <w:r w:rsidR="00014ABE">
              <w:rPr>
                <w:noProof/>
                <w:webHidden/>
              </w:rPr>
            </w:r>
            <w:r w:rsidR="00014ABE">
              <w:rPr>
                <w:noProof/>
                <w:webHidden/>
              </w:rPr>
              <w:fldChar w:fldCharType="separate"/>
            </w:r>
            <w:r w:rsidR="00014ABE">
              <w:rPr>
                <w:noProof/>
                <w:webHidden/>
              </w:rPr>
              <w:t>3</w:t>
            </w:r>
            <w:r w:rsidR="00014ABE">
              <w:rPr>
                <w:noProof/>
                <w:webHidden/>
              </w:rPr>
              <w:fldChar w:fldCharType="end"/>
            </w:r>
          </w:hyperlink>
        </w:p>
        <w:p w14:paraId="0B327DC9" w14:textId="1034A940" w:rsidR="00014ABE" w:rsidRDefault="001A2B02">
          <w:pPr>
            <w:pStyle w:val="TOC1"/>
            <w:tabs>
              <w:tab w:val="left" w:pos="440"/>
              <w:tab w:val="right" w:leader="dot" w:pos="9350"/>
            </w:tabs>
            <w:rPr>
              <w:rFonts w:eastAsiaTheme="minorEastAsia"/>
              <w:noProof/>
            </w:rPr>
          </w:pPr>
          <w:hyperlink w:anchor="_Toc63333759" w:history="1">
            <w:r w:rsidR="00014ABE" w:rsidRPr="00C25664">
              <w:rPr>
                <w:rStyle w:val="Hyperlink"/>
                <w:rFonts w:eastAsia="Times New Roman"/>
                <w:noProof/>
              </w:rPr>
              <w:t>4</w:t>
            </w:r>
            <w:r w:rsidR="00014ABE">
              <w:rPr>
                <w:rFonts w:eastAsiaTheme="minorEastAsia"/>
                <w:noProof/>
              </w:rPr>
              <w:tab/>
            </w:r>
            <w:r w:rsidR="00014ABE" w:rsidRPr="00C25664">
              <w:rPr>
                <w:rStyle w:val="Hyperlink"/>
                <w:rFonts w:eastAsia="Times New Roman"/>
                <w:noProof/>
              </w:rPr>
              <w:t>Policy Compliance</w:t>
            </w:r>
            <w:r w:rsidR="00014ABE">
              <w:rPr>
                <w:noProof/>
                <w:webHidden/>
              </w:rPr>
              <w:tab/>
            </w:r>
            <w:r w:rsidR="00014ABE">
              <w:rPr>
                <w:noProof/>
                <w:webHidden/>
              </w:rPr>
              <w:fldChar w:fldCharType="begin"/>
            </w:r>
            <w:r w:rsidR="00014ABE">
              <w:rPr>
                <w:noProof/>
                <w:webHidden/>
              </w:rPr>
              <w:instrText xml:space="preserve"> PAGEREF _Toc63333759 \h </w:instrText>
            </w:r>
            <w:r w:rsidR="00014ABE">
              <w:rPr>
                <w:noProof/>
                <w:webHidden/>
              </w:rPr>
            </w:r>
            <w:r w:rsidR="00014ABE">
              <w:rPr>
                <w:noProof/>
                <w:webHidden/>
              </w:rPr>
              <w:fldChar w:fldCharType="separate"/>
            </w:r>
            <w:r w:rsidR="00014ABE">
              <w:rPr>
                <w:noProof/>
                <w:webHidden/>
              </w:rPr>
              <w:t>5</w:t>
            </w:r>
            <w:r w:rsidR="00014ABE">
              <w:rPr>
                <w:noProof/>
                <w:webHidden/>
              </w:rPr>
              <w:fldChar w:fldCharType="end"/>
            </w:r>
          </w:hyperlink>
        </w:p>
        <w:p w14:paraId="2B1045B0" w14:textId="75379B54" w:rsidR="00014ABE" w:rsidRDefault="001A2B02">
          <w:pPr>
            <w:pStyle w:val="TOC1"/>
            <w:tabs>
              <w:tab w:val="left" w:pos="440"/>
              <w:tab w:val="right" w:leader="dot" w:pos="9350"/>
            </w:tabs>
            <w:rPr>
              <w:rFonts w:eastAsiaTheme="minorEastAsia"/>
              <w:noProof/>
            </w:rPr>
          </w:pPr>
          <w:hyperlink w:anchor="_Toc63333760" w:history="1">
            <w:r w:rsidR="00014ABE" w:rsidRPr="00C25664">
              <w:rPr>
                <w:rStyle w:val="Hyperlink"/>
                <w:noProof/>
              </w:rPr>
              <w:t>5.</w:t>
            </w:r>
            <w:r w:rsidR="00014ABE">
              <w:rPr>
                <w:rFonts w:eastAsiaTheme="minorEastAsia"/>
                <w:noProof/>
              </w:rPr>
              <w:tab/>
            </w:r>
            <w:r w:rsidR="00014ABE" w:rsidRPr="00C25664">
              <w:rPr>
                <w:rStyle w:val="Hyperlink"/>
                <w:noProof/>
              </w:rPr>
              <w:t>Revision History</w:t>
            </w:r>
            <w:r w:rsidR="00014ABE">
              <w:rPr>
                <w:noProof/>
                <w:webHidden/>
              </w:rPr>
              <w:tab/>
            </w:r>
            <w:r w:rsidR="00014ABE">
              <w:rPr>
                <w:noProof/>
                <w:webHidden/>
              </w:rPr>
              <w:fldChar w:fldCharType="begin"/>
            </w:r>
            <w:r w:rsidR="00014ABE">
              <w:rPr>
                <w:noProof/>
                <w:webHidden/>
              </w:rPr>
              <w:instrText xml:space="preserve"> PAGEREF _Toc63333760 \h </w:instrText>
            </w:r>
            <w:r w:rsidR="00014ABE">
              <w:rPr>
                <w:noProof/>
                <w:webHidden/>
              </w:rPr>
            </w:r>
            <w:r w:rsidR="00014ABE">
              <w:rPr>
                <w:noProof/>
                <w:webHidden/>
              </w:rPr>
              <w:fldChar w:fldCharType="separate"/>
            </w:r>
            <w:r w:rsidR="00014ABE">
              <w:rPr>
                <w:noProof/>
                <w:webHidden/>
              </w:rPr>
              <w:t>5</w:t>
            </w:r>
            <w:r w:rsidR="00014ABE">
              <w:rPr>
                <w:noProof/>
                <w:webHidden/>
              </w:rPr>
              <w:fldChar w:fldCharType="end"/>
            </w:r>
          </w:hyperlink>
        </w:p>
        <w:p w14:paraId="4832648A" w14:textId="2A4E3739" w:rsidR="009E0CD4" w:rsidRDefault="009E0CD4">
          <w:r>
            <w:rPr>
              <w:b/>
              <w:bCs/>
              <w:noProof/>
            </w:rPr>
            <w:fldChar w:fldCharType="end"/>
          </w:r>
        </w:p>
      </w:sdtContent>
    </w:sdt>
    <w:p w14:paraId="627B7A01" w14:textId="6F82E0B6" w:rsidR="000F1696" w:rsidRDefault="009E0CD4" w:rsidP="008879FC">
      <w:pPr>
        <w:pStyle w:val="Heading1"/>
        <w:numPr>
          <w:ilvl w:val="0"/>
          <w:numId w:val="13"/>
        </w:numPr>
        <w:spacing w:before="0" w:line="276" w:lineRule="auto"/>
      </w:pPr>
      <w:r>
        <w:br w:type="page"/>
      </w:r>
      <w:bookmarkStart w:id="0" w:name="_Toc63333756"/>
      <w:r w:rsidR="000F1696">
        <w:lastRenderedPageBreak/>
        <w:t>Purpose</w:t>
      </w:r>
      <w:bookmarkEnd w:id="0"/>
    </w:p>
    <w:p w14:paraId="5F148396" w14:textId="0AF38A3A" w:rsidR="000F1696" w:rsidRDefault="00962E73" w:rsidP="000F1696">
      <w:pPr>
        <w:pStyle w:val="PlainText"/>
        <w:rPr>
          <w:rFonts w:asciiTheme="minorHAnsi" w:eastAsia="MS Mincho" w:hAnsiTheme="minorHAnsi" w:cstheme="minorHAnsi"/>
          <w:sz w:val="22"/>
          <w:szCs w:val="22"/>
        </w:rPr>
      </w:pPr>
      <w:r w:rsidRPr="00962E73">
        <w:rPr>
          <w:rFonts w:asciiTheme="minorHAnsi" w:eastAsia="MS Mincho" w:hAnsiTheme="minorHAnsi" w:cstheme="minorHAnsi"/>
          <w:sz w:val="22"/>
          <w:szCs w:val="22"/>
        </w:rPr>
        <w:t xml:space="preserve">The purpose of this policy is to define standards for systems that monitor and limit web use from any host within </w:t>
      </w:r>
      <w:r w:rsidR="003B464E">
        <w:rPr>
          <w:rFonts w:asciiTheme="minorHAnsi" w:eastAsia="MS Mincho" w:hAnsiTheme="minorHAnsi" w:cstheme="minorHAnsi"/>
          <w:sz w:val="22"/>
          <w:szCs w:val="22"/>
        </w:rPr>
        <w:t>[Company]</w:t>
      </w:r>
      <w:r w:rsidRPr="00962E73">
        <w:rPr>
          <w:rFonts w:asciiTheme="minorHAnsi" w:eastAsia="MS Mincho" w:hAnsiTheme="minorHAnsi" w:cstheme="minorHAnsi"/>
          <w:sz w:val="22"/>
          <w:szCs w:val="22"/>
        </w:rPr>
        <w:t>'s network. These standards are designed to ensure employees use the Internet in a safe and responsible manner and ensure that employee web use can be monitored or researched during an incident.</w:t>
      </w:r>
    </w:p>
    <w:p w14:paraId="3C0A79F5" w14:textId="77777777" w:rsidR="00884FCB" w:rsidRPr="00962E73" w:rsidRDefault="00884FCB" w:rsidP="000F1696">
      <w:pPr>
        <w:pStyle w:val="PlainText"/>
        <w:rPr>
          <w:rFonts w:asciiTheme="minorHAnsi" w:eastAsia="MS Mincho" w:hAnsiTheme="minorHAnsi" w:cstheme="minorHAnsi"/>
          <w:sz w:val="22"/>
          <w:szCs w:val="22"/>
        </w:rPr>
      </w:pPr>
    </w:p>
    <w:p w14:paraId="3108FF30" w14:textId="662E7950" w:rsidR="000F1696" w:rsidRDefault="000F1696" w:rsidP="00884FCB">
      <w:pPr>
        <w:pStyle w:val="Heading1"/>
        <w:numPr>
          <w:ilvl w:val="0"/>
          <w:numId w:val="8"/>
        </w:numPr>
        <w:spacing w:before="0" w:line="276" w:lineRule="auto"/>
      </w:pPr>
      <w:bookmarkStart w:id="1" w:name="_Toc63333757"/>
      <w:r>
        <w:t>Scope</w:t>
      </w:r>
      <w:bookmarkEnd w:id="1"/>
    </w:p>
    <w:p w14:paraId="6D8C9548" w14:textId="67216AE4" w:rsidR="00721FE0" w:rsidRDefault="00721FE0" w:rsidP="00721FE0">
      <w:r>
        <w:t xml:space="preserve">This policy applies to all </w:t>
      </w:r>
      <w:r w:rsidR="003B464E">
        <w:t>[Company]</w:t>
      </w:r>
      <w:r>
        <w:t xml:space="preserve"> employees, contractors, vendors, and agents with a </w:t>
      </w:r>
      <w:r w:rsidR="003B464E">
        <w:t>[Company]</w:t>
      </w:r>
      <w:r>
        <w:t xml:space="preserve">-owned, or personally owned computer or workstation connected to the </w:t>
      </w:r>
      <w:r w:rsidR="003B464E">
        <w:t>[Company]</w:t>
      </w:r>
      <w:r>
        <w:t xml:space="preserve"> network. </w:t>
      </w:r>
    </w:p>
    <w:p w14:paraId="1FF0E887" w14:textId="320BCBE1" w:rsidR="00721FE0" w:rsidRPr="00721FE0" w:rsidRDefault="00721FE0" w:rsidP="00721FE0">
      <w:r>
        <w:t xml:space="preserve">This policy applies to all end user-initiated communications between </w:t>
      </w:r>
      <w:r w:rsidR="003B464E">
        <w:t>[Company]</w:t>
      </w:r>
      <w:r>
        <w:t>’s network and the Internet, including web browsing, instant messaging, file transfer, file sharing, and other standard and proprietary protocols. Server to Server communications, such as SMTP traffic, backups, automated data transfers or database communications are excluded from this policy.</w:t>
      </w:r>
    </w:p>
    <w:p w14:paraId="6B0D63A3" w14:textId="38FB1133" w:rsidR="00E771F7" w:rsidRPr="00E771F7" w:rsidRDefault="00E771F7" w:rsidP="00884FCB">
      <w:pPr>
        <w:pStyle w:val="Heading1"/>
        <w:numPr>
          <w:ilvl w:val="0"/>
          <w:numId w:val="12"/>
        </w:numPr>
      </w:pPr>
      <w:bookmarkStart w:id="2" w:name="_Toc63325849"/>
      <w:bookmarkStart w:id="3" w:name="_Toc63325856"/>
      <w:bookmarkStart w:id="4" w:name="_Toc63325850"/>
      <w:bookmarkStart w:id="5" w:name="_Toc63325857"/>
      <w:bookmarkStart w:id="6" w:name="_Toc63333758"/>
      <w:bookmarkEnd w:id="2"/>
      <w:bookmarkEnd w:id="3"/>
      <w:bookmarkEnd w:id="4"/>
      <w:bookmarkEnd w:id="5"/>
      <w:r w:rsidRPr="00E771F7">
        <w:t>Policy</w:t>
      </w:r>
      <w:bookmarkEnd w:id="6"/>
    </w:p>
    <w:p w14:paraId="2657B62C" w14:textId="77777777" w:rsidR="00A41243" w:rsidRDefault="00A41243" w:rsidP="00A41243">
      <w:pPr>
        <w:pStyle w:val="ListParagraph"/>
        <w:numPr>
          <w:ilvl w:val="1"/>
          <w:numId w:val="12"/>
        </w:numPr>
      </w:pPr>
      <w:r>
        <w:t>Web Site Monitoring</w:t>
      </w:r>
    </w:p>
    <w:p w14:paraId="01F0973E" w14:textId="77777777" w:rsidR="008879FC" w:rsidRDefault="00A41243" w:rsidP="008879FC">
      <w:pPr>
        <w:ind w:left="360"/>
      </w:pPr>
      <w:r>
        <w:t>The Information Technology Department shall monitor Internet use from all computers and devices connected to the corporate network</w:t>
      </w:r>
      <w:r w:rsidR="008879FC">
        <w:t xml:space="preserve">. </w:t>
      </w:r>
      <w:r>
        <w:t xml:space="preserve">For all </w:t>
      </w:r>
      <w:r w:rsidR="008879FC">
        <w:t>traffic,</w:t>
      </w:r>
      <w:r>
        <w:t xml:space="preserve"> the monitoring system must record the source IP Address, the date, the time, the protocol, and the destination site or server</w:t>
      </w:r>
      <w:r w:rsidR="008879FC">
        <w:t xml:space="preserve">. </w:t>
      </w:r>
      <w:r>
        <w:t>Where possible, the system should record the User ID of the person or account initiating the traffic</w:t>
      </w:r>
      <w:r w:rsidR="008879FC">
        <w:t xml:space="preserve">. </w:t>
      </w:r>
      <w:r>
        <w:t>Internet Use records must be preserved for 180 days.</w:t>
      </w:r>
    </w:p>
    <w:p w14:paraId="136D9C7F" w14:textId="291E13F6" w:rsidR="00A41243" w:rsidRDefault="00A41243" w:rsidP="008879FC">
      <w:pPr>
        <w:pStyle w:val="ListParagraph"/>
        <w:numPr>
          <w:ilvl w:val="1"/>
          <w:numId w:val="12"/>
        </w:numPr>
      </w:pPr>
      <w:r>
        <w:t>Access to Web Site Monitoring Reports</w:t>
      </w:r>
    </w:p>
    <w:p w14:paraId="1764DF2E" w14:textId="251BA4D4" w:rsidR="008879FC" w:rsidRDefault="00A41243" w:rsidP="008879FC">
      <w:pPr>
        <w:ind w:left="360"/>
      </w:pPr>
      <w:r>
        <w:t>General trending and activity reports will be made available to any employee as needed upon request to the Information Technology Department</w:t>
      </w:r>
      <w:r w:rsidR="008879FC">
        <w:t xml:space="preserve">. </w:t>
      </w:r>
      <w:r>
        <w:t xml:space="preserve">Computer Security Incident Response Team (CSIRT) members may access all reports and data if </w:t>
      </w:r>
      <w:r w:rsidR="008879FC">
        <w:t>necessary,</w:t>
      </w:r>
      <w:r>
        <w:t xml:space="preserve"> to respond to a security incident</w:t>
      </w:r>
      <w:proofErr w:type="gramStart"/>
      <w:r>
        <w:t xml:space="preserve">.  </w:t>
      </w:r>
      <w:proofErr w:type="gramEnd"/>
      <w:r>
        <w:t>Internet Use reports that identify specific users, sites, teams, or devices will only be made available to associates outside the CSIRT upon written or email request to Information Systems from a Human Resources Representative.</w:t>
      </w:r>
    </w:p>
    <w:p w14:paraId="308F115D" w14:textId="7B99E709" w:rsidR="00B96DA1" w:rsidRDefault="00B96DA1">
      <w:r>
        <w:br w:type="page"/>
      </w:r>
    </w:p>
    <w:p w14:paraId="57011ACA" w14:textId="21821B7A" w:rsidR="00A41243" w:rsidRDefault="00A41243" w:rsidP="008879FC">
      <w:pPr>
        <w:pStyle w:val="ListParagraph"/>
        <w:numPr>
          <w:ilvl w:val="1"/>
          <w:numId w:val="12"/>
        </w:numPr>
      </w:pPr>
      <w:r>
        <w:lastRenderedPageBreak/>
        <w:t>Internet Use Filtering System</w:t>
      </w:r>
    </w:p>
    <w:p w14:paraId="606D95F1" w14:textId="6F3DA930" w:rsidR="00A41243" w:rsidRDefault="00A41243" w:rsidP="008879FC">
      <w:pPr>
        <w:ind w:left="360"/>
      </w:pPr>
      <w:r>
        <w:t xml:space="preserve">The Information Technology Department shall block access to Internet websites and protocols that are deemed inappropriate for </w:t>
      </w:r>
      <w:r w:rsidR="003B464E">
        <w:t>[Company]</w:t>
      </w:r>
      <w:r>
        <w:t>’s corporate environment</w:t>
      </w:r>
      <w:r w:rsidR="009505C7">
        <w:t xml:space="preserve">. </w:t>
      </w:r>
      <w:r>
        <w:t>The following protocols and categories of websites should be blocked:</w:t>
      </w:r>
    </w:p>
    <w:p w14:paraId="671E213B" w14:textId="77777777" w:rsidR="00A41243" w:rsidRDefault="00A41243" w:rsidP="008879FC">
      <w:pPr>
        <w:pStyle w:val="ListParagraph"/>
        <w:numPr>
          <w:ilvl w:val="0"/>
          <w:numId w:val="15"/>
        </w:numPr>
      </w:pPr>
      <w:r>
        <w:t>Adult/Sexually Explicit Material</w:t>
      </w:r>
    </w:p>
    <w:p w14:paraId="09EDB6BE" w14:textId="77777777" w:rsidR="00A41243" w:rsidRDefault="00A41243" w:rsidP="008879FC">
      <w:pPr>
        <w:pStyle w:val="ListParagraph"/>
        <w:numPr>
          <w:ilvl w:val="0"/>
          <w:numId w:val="15"/>
        </w:numPr>
      </w:pPr>
      <w:r>
        <w:t xml:space="preserve">Advertisements &amp; Pop-Ups </w:t>
      </w:r>
    </w:p>
    <w:p w14:paraId="7F88567C" w14:textId="77777777" w:rsidR="00A41243" w:rsidRDefault="00A41243" w:rsidP="008879FC">
      <w:pPr>
        <w:pStyle w:val="ListParagraph"/>
        <w:numPr>
          <w:ilvl w:val="0"/>
          <w:numId w:val="15"/>
        </w:numPr>
      </w:pPr>
      <w:r>
        <w:t>Chat and Instant Messaging</w:t>
      </w:r>
    </w:p>
    <w:p w14:paraId="2C6ACD7B" w14:textId="77777777" w:rsidR="00A41243" w:rsidRDefault="00A41243" w:rsidP="008879FC">
      <w:pPr>
        <w:pStyle w:val="ListParagraph"/>
        <w:numPr>
          <w:ilvl w:val="0"/>
          <w:numId w:val="15"/>
        </w:numPr>
      </w:pPr>
      <w:r>
        <w:t>Gambling</w:t>
      </w:r>
    </w:p>
    <w:p w14:paraId="1859BA08" w14:textId="77777777" w:rsidR="00A41243" w:rsidRDefault="00A41243" w:rsidP="008879FC">
      <w:pPr>
        <w:pStyle w:val="ListParagraph"/>
        <w:numPr>
          <w:ilvl w:val="0"/>
          <w:numId w:val="15"/>
        </w:numPr>
      </w:pPr>
      <w:r>
        <w:t>Hacking</w:t>
      </w:r>
    </w:p>
    <w:p w14:paraId="45429049" w14:textId="77777777" w:rsidR="00A41243" w:rsidRDefault="00A41243" w:rsidP="008879FC">
      <w:pPr>
        <w:pStyle w:val="ListParagraph"/>
        <w:numPr>
          <w:ilvl w:val="0"/>
          <w:numId w:val="15"/>
        </w:numPr>
      </w:pPr>
      <w:r>
        <w:t>Illegal Drugs</w:t>
      </w:r>
    </w:p>
    <w:p w14:paraId="25A61005" w14:textId="77777777" w:rsidR="00A41243" w:rsidRDefault="00A41243" w:rsidP="008879FC">
      <w:pPr>
        <w:pStyle w:val="ListParagraph"/>
        <w:numPr>
          <w:ilvl w:val="0"/>
          <w:numId w:val="15"/>
        </w:numPr>
      </w:pPr>
      <w:r>
        <w:t>Intimate Apparel and Swimwear</w:t>
      </w:r>
    </w:p>
    <w:p w14:paraId="6EC15EF0" w14:textId="77777777" w:rsidR="00A41243" w:rsidRDefault="00A41243" w:rsidP="008879FC">
      <w:pPr>
        <w:pStyle w:val="ListParagraph"/>
        <w:numPr>
          <w:ilvl w:val="0"/>
          <w:numId w:val="15"/>
        </w:numPr>
      </w:pPr>
      <w:r>
        <w:t>Peer to Peer File Sharing</w:t>
      </w:r>
    </w:p>
    <w:p w14:paraId="0B641633" w14:textId="77777777" w:rsidR="00A41243" w:rsidRDefault="00A41243" w:rsidP="008879FC">
      <w:pPr>
        <w:pStyle w:val="ListParagraph"/>
        <w:numPr>
          <w:ilvl w:val="0"/>
          <w:numId w:val="15"/>
        </w:numPr>
      </w:pPr>
      <w:r>
        <w:t>Personals and Dating</w:t>
      </w:r>
    </w:p>
    <w:p w14:paraId="19B4637E" w14:textId="77777777" w:rsidR="00A41243" w:rsidRDefault="00A41243" w:rsidP="008879FC">
      <w:pPr>
        <w:pStyle w:val="ListParagraph"/>
        <w:numPr>
          <w:ilvl w:val="0"/>
          <w:numId w:val="15"/>
        </w:numPr>
      </w:pPr>
      <w:r>
        <w:t>Social Network Services</w:t>
      </w:r>
    </w:p>
    <w:p w14:paraId="38599EC2" w14:textId="77777777" w:rsidR="00A41243" w:rsidRDefault="00A41243" w:rsidP="008879FC">
      <w:pPr>
        <w:pStyle w:val="ListParagraph"/>
        <w:numPr>
          <w:ilvl w:val="0"/>
          <w:numId w:val="15"/>
        </w:numPr>
      </w:pPr>
      <w:r>
        <w:t>SPAM, Phishing and Fraud</w:t>
      </w:r>
    </w:p>
    <w:p w14:paraId="612C44FA" w14:textId="77777777" w:rsidR="00A41243" w:rsidRDefault="00A41243" w:rsidP="008879FC">
      <w:pPr>
        <w:pStyle w:val="ListParagraph"/>
        <w:numPr>
          <w:ilvl w:val="0"/>
          <w:numId w:val="15"/>
        </w:numPr>
      </w:pPr>
      <w:r>
        <w:t>Spyware</w:t>
      </w:r>
    </w:p>
    <w:p w14:paraId="7A5F161D" w14:textId="77777777" w:rsidR="00A41243" w:rsidRDefault="00A41243" w:rsidP="008879FC">
      <w:pPr>
        <w:pStyle w:val="ListParagraph"/>
        <w:numPr>
          <w:ilvl w:val="0"/>
          <w:numId w:val="15"/>
        </w:numPr>
      </w:pPr>
      <w:r>
        <w:t>Tasteless and Offensive Content</w:t>
      </w:r>
    </w:p>
    <w:p w14:paraId="2CE05AEF" w14:textId="77777777" w:rsidR="00A41243" w:rsidRDefault="00A41243" w:rsidP="008879FC">
      <w:pPr>
        <w:pStyle w:val="ListParagraph"/>
        <w:numPr>
          <w:ilvl w:val="0"/>
          <w:numId w:val="15"/>
        </w:numPr>
      </w:pPr>
      <w:r>
        <w:t>Violence, Intolerance and Hate</w:t>
      </w:r>
    </w:p>
    <w:p w14:paraId="360D5B2A" w14:textId="77777777" w:rsidR="00A41243" w:rsidRDefault="00A41243" w:rsidP="008879FC">
      <w:pPr>
        <w:pStyle w:val="ListParagraph"/>
        <w:numPr>
          <w:ilvl w:val="0"/>
          <w:numId w:val="15"/>
        </w:numPr>
      </w:pPr>
      <w:r>
        <w:t>Web Based Email</w:t>
      </w:r>
    </w:p>
    <w:p w14:paraId="396F3A04" w14:textId="77777777" w:rsidR="00A41243" w:rsidRDefault="00A41243" w:rsidP="00A41243"/>
    <w:p w14:paraId="7B118A89" w14:textId="77777777" w:rsidR="00A41243" w:rsidRDefault="00A41243" w:rsidP="008879FC">
      <w:pPr>
        <w:pStyle w:val="ListParagraph"/>
        <w:numPr>
          <w:ilvl w:val="1"/>
          <w:numId w:val="12"/>
        </w:numPr>
      </w:pPr>
      <w:r>
        <w:t>Internet Use Filtering Rule Changes</w:t>
      </w:r>
    </w:p>
    <w:p w14:paraId="700F91C6" w14:textId="77777777" w:rsidR="008879FC" w:rsidRDefault="00A41243" w:rsidP="008879FC">
      <w:pPr>
        <w:ind w:left="360"/>
      </w:pPr>
      <w:r>
        <w:t>The Information Technology Department shall periodically review and recommend changes to web and protocol filtering rules</w:t>
      </w:r>
      <w:r w:rsidR="008879FC">
        <w:t xml:space="preserve">. </w:t>
      </w:r>
      <w:r>
        <w:t>Human Resources shall review these recommendations and decide if any changes are to be made</w:t>
      </w:r>
      <w:r w:rsidR="008879FC">
        <w:t xml:space="preserve">. </w:t>
      </w:r>
      <w:r>
        <w:t>Changes to web and protocol filtering rules will be recorded in the Internet Use Monitoring and Filtering Policy</w:t>
      </w:r>
      <w:r w:rsidR="008879FC">
        <w:t xml:space="preserve">. </w:t>
      </w:r>
    </w:p>
    <w:p w14:paraId="35565C56" w14:textId="0405DD83" w:rsidR="00A41243" w:rsidRDefault="00A41243" w:rsidP="008879FC">
      <w:pPr>
        <w:pStyle w:val="ListParagraph"/>
        <w:numPr>
          <w:ilvl w:val="1"/>
          <w:numId w:val="12"/>
        </w:numPr>
      </w:pPr>
      <w:r>
        <w:t>Internet Use Filtering Exceptions</w:t>
      </w:r>
    </w:p>
    <w:p w14:paraId="4D2111B4" w14:textId="3A5ADCC0" w:rsidR="00A41243" w:rsidRDefault="00A41243" w:rsidP="008879FC">
      <w:pPr>
        <w:ind w:left="360"/>
      </w:pPr>
      <w:r>
        <w:t>If a site is mis-categorized, employees may request the site be un-blocked by submitting a ticket to the Information Technology help desk</w:t>
      </w:r>
      <w:r w:rsidR="008879FC">
        <w:t xml:space="preserve">. </w:t>
      </w:r>
      <w:r>
        <w:t>An IT employee will review the request and un-block the site if it is mis-categorized</w:t>
      </w:r>
      <w:r w:rsidR="008879FC">
        <w:t xml:space="preserve">. </w:t>
      </w:r>
    </w:p>
    <w:p w14:paraId="0236464E" w14:textId="191EDE5B" w:rsidR="000F1696" w:rsidRDefault="00A41243" w:rsidP="008879FC">
      <w:pPr>
        <w:ind w:left="360"/>
      </w:pPr>
      <w:r>
        <w:t>Employees may access blocked sites with permission if appropriate and necessary for business purposes</w:t>
      </w:r>
      <w:r w:rsidR="008879FC">
        <w:t xml:space="preserve">. </w:t>
      </w:r>
      <w:r>
        <w:t>If an employee needs access to a site that is blocked and appropriately categorized, they must submit a request to their Human Resources representative</w:t>
      </w:r>
      <w:r w:rsidR="008879FC">
        <w:t xml:space="preserve">. </w:t>
      </w:r>
      <w:r>
        <w:t>HR will present all approved exception requests to Information Technology in writing or by email</w:t>
      </w:r>
      <w:r w:rsidR="008879FC">
        <w:t xml:space="preserve">. </w:t>
      </w:r>
      <w:r>
        <w:t>Information Technology will unblock that site or category for that associate only</w:t>
      </w:r>
      <w:r w:rsidR="008879FC">
        <w:t xml:space="preserve">. </w:t>
      </w:r>
      <w:r>
        <w:t>Information Technology will track approved exceptions and report on them upon request</w:t>
      </w:r>
      <w:r w:rsidR="008879FC">
        <w:t xml:space="preserve">. </w:t>
      </w:r>
    </w:p>
    <w:p w14:paraId="50450AFF" w14:textId="1016804E" w:rsidR="00B96DA1" w:rsidRDefault="00B96DA1" w:rsidP="008879FC">
      <w:pPr>
        <w:ind w:left="360"/>
      </w:pPr>
    </w:p>
    <w:p w14:paraId="4A44FAAA" w14:textId="53512CCA" w:rsidR="009505C7" w:rsidRDefault="009505C7" w:rsidP="008879FC">
      <w:pPr>
        <w:ind w:left="360"/>
      </w:pPr>
    </w:p>
    <w:p w14:paraId="6C3023D6" w14:textId="1FA832E8" w:rsidR="009505C7" w:rsidRDefault="009505C7" w:rsidP="008879FC">
      <w:pPr>
        <w:ind w:left="360"/>
      </w:pPr>
    </w:p>
    <w:p w14:paraId="12B5A090" w14:textId="77777777" w:rsidR="009505C7" w:rsidRPr="00C72E22" w:rsidRDefault="009505C7" w:rsidP="008879FC">
      <w:pPr>
        <w:ind w:left="360"/>
      </w:pPr>
    </w:p>
    <w:p w14:paraId="47EAD6D2" w14:textId="77777777" w:rsidR="00DA3560" w:rsidRPr="007F1ED3" w:rsidRDefault="00DA3560" w:rsidP="008879FC">
      <w:pPr>
        <w:pStyle w:val="Heading1"/>
        <w:numPr>
          <w:ilvl w:val="0"/>
          <w:numId w:val="17"/>
        </w:numPr>
        <w:rPr>
          <w:rFonts w:eastAsia="Times New Roman"/>
        </w:rPr>
      </w:pPr>
      <w:bookmarkStart w:id="7" w:name="_Toc63333759"/>
      <w:r w:rsidRPr="007F1ED3">
        <w:rPr>
          <w:rFonts w:eastAsia="Times New Roman"/>
        </w:rPr>
        <w:t>Policy Compliance</w:t>
      </w:r>
      <w:bookmarkEnd w:id="7"/>
    </w:p>
    <w:p w14:paraId="6E1D68BC" w14:textId="77777777" w:rsidR="008879FC" w:rsidRPr="008879FC" w:rsidRDefault="008879FC" w:rsidP="008879FC">
      <w:pPr>
        <w:pStyle w:val="ListParagraph"/>
        <w:numPr>
          <w:ilvl w:val="0"/>
          <w:numId w:val="12"/>
        </w:numPr>
        <w:spacing w:after="200" w:line="276" w:lineRule="auto"/>
        <w:rPr>
          <w:rFonts w:eastAsia="Calibri" w:cstheme="minorHAnsi"/>
          <w:b/>
          <w:bCs/>
          <w:vanish/>
        </w:rPr>
      </w:pPr>
    </w:p>
    <w:p w14:paraId="1740202A" w14:textId="1DB53B46" w:rsidR="00DA3560" w:rsidRDefault="00DA3560" w:rsidP="008879FC">
      <w:pPr>
        <w:numPr>
          <w:ilvl w:val="1"/>
          <w:numId w:val="12"/>
        </w:numPr>
        <w:spacing w:after="200" w:line="276" w:lineRule="auto"/>
        <w:contextualSpacing/>
        <w:rPr>
          <w:rFonts w:eastAsia="Calibri" w:cstheme="minorHAnsi"/>
          <w:b/>
          <w:bCs/>
        </w:rPr>
      </w:pPr>
      <w:r w:rsidRPr="002379E4">
        <w:rPr>
          <w:rFonts w:eastAsia="Calibri" w:cstheme="minorHAnsi"/>
          <w:b/>
          <w:bCs/>
        </w:rPr>
        <w:t>Compliance Measurement</w:t>
      </w:r>
    </w:p>
    <w:p w14:paraId="4CAFBFC0" w14:textId="6EE5C797" w:rsidR="00470E64" w:rsidRPr="00470E64" w:rsidRDefault="00470E64" w:rsidP="00470E64">
      <w:pPr>
        <w:spacing w:after="200" w:line="276" w:lineRule="auto"/>
        <w:ind w:left="360"/>
        <w:contextualSpacing/>
        <w:rPr>
          <w:rFonts w:eastAsia="Calibri" w:cstheme="minorHAnsi"/>
        </w:rPr>
      </w:pPr>
      <w:r w:rsidRPr="00470E64">
        <w:rPr>
          <w:rFonts w:eastAsia="Calibri" w:cstheme="minorHAnsi"/>
        </w:rPr>
        <w:t>The Infosec team will verify compliance to this policy through various methods, including but not limited to, periodic walk-thr</w:t>
      </w:r>
      <w:r>
        <w:rPr>
          <w:rFonts w:eastAsia="Calibri" w:cstheme="minorHAnsi"/>
        </w:rPr>
        <w:t>o</w:t>
      </w:r>
      <w:r w:rsidRPr="00470E64">
        <w:rPr>
          <w:rFonts w:eastAsia="Calibri" w:cstheme="minorHAnsi"/>
        </w:rPr>
        <w:t>u</w:t>
      </w:r>
      <w:r>
        <w:rPr>
          <w:rFonts w:eastAsia="Calibri" w:cstheme="minorHAnsi"/>
        </w:rPr>
        <w:t>gh</w:t>
      </w:r>
      <w:r w:rsidRPr="00470E64">
        <w:rPr>
          <w:rFonts w:eastAsia="Calibri" w:cstheme="minorHAnsi"/>
        </w:rPr>
        <w:t>s, video monitoring, business tool reports, internal and external audits, and feedback to the policy owner.</w:t>
      </w:r>
    </w:p>
    <w:p w14:paraId="15CEB6FE" w14:textId="77777777" w:rsidR="008879FC" w:rsidRPr="008879FC" w:rsidRDefault="008879FC" w:rsidP="008879FC">
      <w:pPr>
        <w:pStyle w:val="ListParagraph"/>
        <w:numPr>
          <w:ilvl w:val="0"/>
          <w:numId w:val="9"/>
        </w:numPr>
        <w:rPr>
          <w:rFonts w:eastAsia="Times New Roman" w:cstheme="minorHAnsi"/>
          <w:b/>
          <w:vanish/>
        </w:rPr>
      </w:pPr>
    </w:p>
    <w:p w14:paraId="0F36A663" w14:textId="77777777" w:rsidR="008879FC" w:rsidRPr="008879FC" w:rsidRDefault="008879FC" w:rsidP="008879FC">
      <w:pPr>
        <w:pStyle w:val="ListParagraph"/>
        <w:numPr>
          <w:ilvl w:val="0"/>
          <w:numId w:val="9"/>
        </w:numPr>
        <w:rPr>
          <w:rFonts w:eastAsia="Times New Roman" w:cstheme="minorHAnsi"/>
          <w:b/>
          <w:vanish/>
        </w:rPr>
      </w:pPr>
    </w:p>
    <w:p w14:paraId="2D752C89" w14:textId="77777777" w:rsidR="008879FC" w:rsidRPr="008879FC" w:rsidRDefault="008879FC" w:rsidP="008879FC">
      <w:pPr>
        <w:pStyle w:val="ListParagraph"/>
        <w:numPr>
          <w:ilvl w:val="0"/>
          <w:numId w:val="9"/>
        </w:numPr>
        <w:rPr>
          <w:rFonts w:eastAsia="Times New Roman" w:cstheme="minorHAnsi"/>
          <w:b/>
          <w:vanish/>
        </w:rPr>
      </w:pPr>
    </w:p>
    <w:p w14:paraId="70E0FE72" w14:textId="77777777" w:rsidR="008879FC" w:rsidRPr="008879FC" w:rsidRDefault="008879FC" w:rsidP="008879FC">
      <w:pPr>
        <w:pStyle w:val="ListParagraph"/>
        <w:numPr>
          <w:ilvl w:val="0"/>
          <w:numId w:val="9"/>
        </w:numPr>
        <w:rPr>
          <w:rFonts w:eastAsia="Times New Roman" w:cstheme="minorHAnsi"/>
          <w:b/>
          <w:vanish/>
        </w:rPr>
      </w:pPr>
    </w:p>
    <w:p w14:paraId="27DF81C9" w14:textId="77777777" w:rsidR="008879FC" w:rsidRPr="008879FC" w:rsidRDefault="008879FC" w:rsidP="008879FC">
      <w:pPr>
        <w:pStyle w:val="ListParagraph"/>
        <w:numPr>
          <w:ilvl w:val="1"/>
          <w:numId w:val="9"/>
        </w:numPr>
        <w:rPr>
          <w:rFonts w:eastAsia="Times New Roman" w:cstheme="minorHAnsi"/>
          <w:b/>
          <w:vanish/>
        </w:rPr>
      </w:pPr>
    </w:p>
    <w:p w14:paraId="3F851863" w14:textId="028E4AFD" w:rsidR="00DA3560" w:rsidRPr="00A34B51" w:rsidRDefault="00DA3560" w:rsidP="008879FC">
      <w:pPr>
        <w:pStyle w:val="ListParagraph"/>
        <w:numPr>
          <w:ilvl w:val="1"/>
          <w:numId w:val="9"/>
        </w:numPr>
        <w:rPr>
          <w:rFonts w:eastAsia="Times New Roman" w:cstheme="minorHAnsi"/>
          <w:b/>
        </w:rPr>
      </w:pPr>
      <w:r w:rsidRPr="00A34B51">
        <w:rPr>
          <w:rFonts w:eastAsia="Times New Roman" w:cstheme="minorHAnsi"/>
          <w:b/>
        </w:rPr>
        <w:t>Exceptions</w:t>
      </w:r>
    </w:p>
    <w:p w14:paraId="70055FA2" w14:textId="77777777" w:rsidR="00DA3560" w:rsidRPr="008E2E19" w:rsidRDefault="00DA3560" w:rsidP="002379E4">
      <w:pPr>
        <w:spacing w:after="200" w:line="276" w:lineRule="auto"/>
        <w:ind w:left="360"/>
        <w:contextualSpacing/>
        <w:rPr>
          <w:rFonts w:eastAsia="Calibri" w:cstheme="minorHAnsi"/>
        </w:rPr>
      </w:pPr>
      <w:r w:rsidRPr="008E2E19">
        <w:rPr>
          <w:rFonts w:eastAsia="Calibri" w:cstheme="minorHAnsi"/>
        </w:rPr>
        <w:t xml:space="preserve">Any exception to the policy must be approved by the Infosec team in advance. </w:t>
      </w:r>
    </w:p>
    <w:p w14:paraId="62D43792" w14:textId="77777777" w:rsidR="008879FC" w:rsidRPr="008879FC" w:rsidRDefault="008879FC" w:rsidP="008879FC">
      <w:pPr>
        <w:pStyle w:val="ListParagraph"/>
        <w:numPr>
          <w:ilvl w:val="0"/>
          <w:numId w:val="10"/>
        </w:numPr>
        <w:rPr>
          <w:rFonts w:eastAsia="Times New Roman" w:cstheme="minorHAnsi"/>
          <w:b/>
          <w:vanish/>
        </w:rPr>
      </w:pPr>
    </w:p>
    <w:p w14:paraId="70BB7B34" w14:textId="77777777" w:rsidR="008879FC" w:rsidRPr="008879FC" w:rsidRDefault="008879FC" w:rsidP="008879FC">
      <w:pPr>
        <w:pStyle w:val="ListParagraph"/>
        <w:numPr>
          <w:ilvl w:val="0"/>
          <w:numId w:val="10"/>
        </w:numPr>
        <w:rPr>
          <w:rFonts w:eastAsia="Times New Roman" w:cstheme="minorHAnsi"/>
          <w:b/>
          <w:vanish/>
        </w:rPr>
      </w:pPr>
    </w:p>
    <w:p w14:paraId="387E0215" w14:textId="77777777" w:rsidR="008879FC" w:rsidRPr="008879FC" w:rsidRDefault="008879FC" w:rsidP="008879FC">
      <w:pPr>
        <w:pStyle w:val="ListParagraph"/>
        <w:numPr>
          <w:ilvl w:val="0"/>
          <w:numId w:val="10"/>
        </w:numPr>
        <w:rPr>
          <w:rFonts w:eastAsia="Times New Roman" w:cstheme="minorHAnsi"/>
          <w:b/>
          <w:vanish/>
        </w:rPr>
      </w:pPr>
    </w:p>
    <w:p w14:paraId="309C5D7B" w14:textId="77777777" w:rsidR="008879FC" w:rsidRPr="008879FC" w:rsidRDefault="008879FC" w:rsidP="008879FC">
      <w:pPr>
        <w:pStyle w:val="ListParagraph"/>
        <w:numPr>
          <w:ilvl w:val="0"/>
          <w:numId w:val="10"/>
        </w:numPr>
        <w:rPr>
          <w:rFonts w:eastAsia="Times New Roman" w:cstheme="minorHAnsi"/>
          <w:b/>
          <w:vanish/>
        </w:rPr>
      </w:pPr>
    </w:p>
    <w:p w14:paraId="18B03273" w14:textId="77777777" w:rsidR="008879FC" w:rsidRPr="008879FC" w:rsidRDefault="008879FC" w:rsidP="008879FC">
      <w:pPr>
        <w:pStyle w:val="ListParagraph"/>
        <w:numPr>
          <w:ilvl w:val="1"/>
          <w:numId w:val="10"/>
        </w:numPr>
        <w:rPr>
          <w:rFonts w:eastAsia="Times New Roman" w:cstheme="minorHAnsi"/>
          <w:b/>
          <w:vanish/>
        </w:rPr>
      </w:pPr>
    </w:p>
    <w:p w14:paraId="2D105482" w14:textId="77777777" w:rsidR="008879FC" w:rsidRPr="008879FC" w:rsidRDefault="008879FC" w:rsidP="008879FC">
      <w:pPr>
        <w:pStyle w:val="ListParagraph"/>
        <w:numPr>
          <w:ilvl w:val="1"/>
          <w:numId w:val="10"/>
        </w:numPr>
        <w:rPr>
          <w:rFonts w:eastAsia="Times New Roman" w:cstheme="minorHAnsi"/>
          <w:b/>
          <w:vanish/>
        </w:rPr>
      </w:pPr>
    </w:p>
    <w:p w14:paraId="1932C99B" w14:textId="3A8C2265" w:rsidR="00DA3560" w:rsidRPr="00A946D1" w:rsidRDefault="00DA3560" w:rsidP="008879FC">
      <w:pPr>
        <w:pStyle w:val="ListParagraph"/>
        <w:numPr>
          <w:ilvl w:val="1"/>
          <w:numId w:val="10"/>
        </w:numPr>
        <w:rPr>
          <w:rFonts w:eastAsia="Times New Roman" w:cstheme="minorHAnsi"/>
          <w:b/>
        </w:rPr>
      </w:pPr>
      <w:r w:rsidRPr="00A946D1">
        <w:rPr>
          <w:rFonts w:eastAsia="Times New Roman" w:cstheme="minorHAnsi"/>
          <w:b/>
        </w:rPr>
        <w:t>Non-Compliance</w:t>
      </w:r>
    </w:p>
    <w:p w14:paraId="4C6D0D9C" w14:textId="77777777" w:rsidR="00DA3560" w:rsidRPr="008E2E19" w:rsidRDefault="00DA3560" w:rsidP="002379E4">
      <w:pPr>
        <w:spacing w:after="200" w:line="276" w:lineRule="auto"/>
        <w:ind w:left="360"/>
        <w:contextualSpacing/>
        <w:rPr>
          <w:rFonts w:eastAsia="Calibri" w:cstheme="minorHAnsi"/>
        </w:rPr>
      </w:pPr>
      <w:r w:rsidRPr="008E2E19">
        <w:rPr>
          <w:rFonts w:eastAsia="Calibri" w:cstheme="minorHAnsi"/>
        </w:rPr>
        <w:t xml:space="preserve">An employee found to have violated this policy may be subject to disciplinary action, up to and including termination of employment. </w:t>
      </w:r>
    </w:p>
    <w:p w14:paraId="3B49C60F" w14:textId="77777777" w:rsidR="002379E4" w:rsidRPr="002379E4" w:rsidRDefault="002379E4" w:rsidP="002379E4">
      <w:pPr>
        <w:spacing w:after="200" w:line="276" w:lineRule="auto"/>
        <w:ind w:left="360"/>
        <w:rPr>
          <w:rFonts w:eastAsia="Calibri" w:cstheme="minorHAnsi"/>
          <w:u w:val="single"/>
        </w:rPr>
      </w:pPr>
    </w:p>
    <w:p w14:paraId="4996A28C" w14:textId="719131CB" w:rsidR="000F1696" w:rsidRDefault="000F1696" w:rsidP="008879FC">
      <w:pPr>
        <w:pStyle w:val="Heading1"/>
        <w:numPr>
          <w:ilvl w:val="0"/>
          <w:numId w:val="12"/>
        </w:numPr>
      </w:pPr>
      <w:bookmarkStart w:id="8" w:name="_Toc63333760"/>
      <w:r>
        <w:t>Revision History</w:t>
      </w:r>
      <w:bookmarkEnd w:id="8"/>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0F1696" w14:paraId="46F48200" w14:textId="77777777" w:rsidTr="006E7411">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32E6BC56" w14:textId="77777777" w:rsidR="000F1696" w:rsidRPr="00B96A66" w:rsidRDefault="000F1696" w:rsidP="00C02EF0">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58D40329" w14:textId="77777777" w:rsidR="000F1696" w:rsidRPr="00B96A66" w:rsidRDefault="000F1696" w:rsidP="00C02EF0">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588A2684" w14:textId="77777777" w:rsidR="000F1696" w:rsidRPr="00B96A66" w:rsidRDefault="000F1696" w:rsidP="00C02EF0">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0F1696" w14:paraId="186AAF19" w14:textId="77777777" w:rsidTr="006E7411">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2D2C10FE" w14:textId="656BF533" w:rsidR="000F1696" w:rsidRPr="002379E4" w:rsidRDefault="00505785" w:rsidP="00C02EF0">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0E94B5B2" w14:textId="268C1F16" w:rsidR="000F1696" w:rsidRPr="002379E4" w:rsidRDefault="00F1698F" w:rsidP="00C02EF0">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0F1696"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7A0B23D6" w14:textId="26F0E125" w:rsidR="000F1696" w:rsidRPr="002379E4" w:rsidRDefault="00505785" w:rsidP="00C02EF0">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 xml:space="preserve">What did you </w:t>
            </w:r>
            <w:r w:rsidR="002379E4" w:rsidRPr="002379E4">
              <w:rPr>
                <w:rFonts w:cstheme="minorHAnsi"/>
              </w:rPr>
              <w:t>do?</w:t>
            </w:r>
          </w:p>
        </w:tc>
      </w:tr>
      <w:tr w:rsidR="000F1696" w14:paraId="65721C5E" w14:textId="77777777" w:rsidTr="009505C7">
        <w:trPr>
          <w:cnfStyle w:val="000000010000" w:firstRow="0" w:lastRow="0" w:firstColumn="0" w:lastColumn="0" w:oddVBand="0" w:evenVBand="0" w:oddHBand="0" w:evenHBand="1"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4FCC0A5A" w14:textId="77777777" w:rsidR="000F1696" w:rsidRDefault="000F1696" w:rsidP="00C02EF0"/>
        </w:tc>
        <w:tc>
          <w:tcPr>
            <w:tcW w:w="3523" w:type="dxa"/>
            <w:tcBorders>
              <w:left w:val="single" w:sz="4" w:space="0" w:color="000000" w:themeColor="text1"/>
              <w:right w:val="single" w:sz="4" w:space="0" w:color="000000" w:themeColor="text1"/>
            </w:tcBorders>
            <w:shd w:val="clear" w:color="auto" w:fill="auto"/>
          </w:tcPr>
          <w:p w14:paraId="61B60858" w14:textId="77777777" w:rsidR="000F1696" w:rsidRDefault="000F1696" w:rsidP="00C02EF0">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shd w:val="clear" w:color="auto" w:fill="auto"/>
          </w:tcPr>
          <w:p w14:paraId="1F6AF628" w14:textId="77777777" w:rsidR="000F1696" w:rsidRDefault="000F1696" w:rsidP="00C02EF0">
            <w:pPr>
              <w:cnfStyle w:val="000000010000" w:firstRow="0" w:lastRow="0" w:firstColumn="0" w:lastColumn="0" w:oddVBand="0" w:evenVBand="0" w:oddHBand="0" w:evenHBand="1" w:firstRowFirstColumn="0" w:firstRowLastColumn="0" w:lastRowFirstColumn="0" w:lastRowLastColumn="0"/>
            </w:pPr>
          </w:p>
        </w:tc>
      </w:tr>
      <w:tr w:rsidR="009505C7" w14:paraId="07CA3C27" w14:textId="77777777" w:rsidTr="009505C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56B316B0" w14:textId="77777777" w:rsidR="009505C7" w:rsidRDefault="009505C7" w:rsidP="00C02EF0"/>
        </w:tc>
        <w:tc>
          <w:tcPr>
            <w:tcW w:w="3523" w:type="dxa"/>
            <w:tcBorders>
              <w:left w:val="single" w:sz="4" w:space="0" w:color="000000" w:themeColor="text1"/>
              <w:right w:val="single" w:sz="4" w:space="0" w:color="000000" w:themeColor="text1"/>
            </w:tcBorders>
            <w:shd w:val="clear" w:color="auto" w:fill="auto"/>
          </w:tcPr>
          <w:p w14:paraId="2F7A3455" w14:textId="77777777" w:rsidR="009505C7" w:rsidRDefault="009505C7" w:rsidP="00C02EF0">
            <w:pPr>
              <w:cnfStyle w:val="000000100000" w:firstRow="0" w:lastRow="0" w:firstColumn="0" w:lastColumn="0" w:oddVBand="0" w:evenVBand="0" w:oddHBand="1" w:evenHBand="0" w:firstRowFirstColumn="0" w:firstRowLastColumn="0" w:lastRowFirstColumn="0" w:lastRowLastColumn="0"/>
            </w:pPr>
          </w:p>
        </w:tc>
        <w:tc>
          <w:tcPr>
            <w:tcW w:w="3955" w:type="dxa"/>
            <w:tcBorders>
              <w:left w:val="single" w:sz="4" w:space="0" w:color="000000" w:themeColor="text1"/>
            </w:tcBorders>
            <w:shd w:val="clear" w:color="auto" w:fill="auto"/>
          </w:tcPr>
          <w:p w14:paraId="7E3664E9" w14:textId="77777777" w:rsidR="009505C7" w:rsidRDefault="009505C7" w:rsidP="00C02EF0">
            <w:pPr>
              <w:cnfStyle w:val="000000100000" w:firstRow="0" w:lastRow="0" w:firstColumn="0" w:lastColumn="0" w:oddVBand="0" w:evenVBand="0" w:oddHBand="1" w:evenHBand="0" w:firstRowFirstColumn="0" w:firstRowLastColumn="0" w:lastRowFirstColumn="0" w:lastRowLastColumn="0"/>
            </w:pPr>
          </w:p>
        </w:tc>
      </w:tr>
    </w:tbl>
    <w:p w14:paraId="122C948A" w14:textId="65B7390F" w:rsidR="009E4CDE" w:rsidRDefault="009E4CDE" w:rsidP="00712A81">
      <w:pPr>
        <w:pStyle w:val="Heading1"/>
      </w:pPr>
    </w:p>
    <w:sectPr w:rsidR="009E4CDE" w:rsidSect="00F911C8">
      <w:headerReference w:type="default" r:id="rId13"/>
      <w:footerReference w:type="default" r:id="rId14"/>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D1998" w14:textId="77777777" w:rsidR="001A2B02" w:rsidRDefault="001A2B02" w:rsidP="00C34EA9">
      <w:pPr>
        <w:spacing w:after="0" w:line="240" w:lineRule="auto"/>
      </w:pPr>
      <w:r>
        <w:separator/>
      </w:r>
    </w:p>
  </w:endnote>
  <w:endnote w:type="continuationSeparator" w:id="0">
    <w:p w14:paraId="37A9B2CD" w14:textId="77777777" w:rsidR="001A2B02" w:rsidRDefault="001A2B02"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5D3A" w14:textId="30C685CC" w:rsidR="002F23AF" w:rsidRDefault="001A2B02"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EndPr/>
      <w:sdtContent>
        <w:r w:rsidR="002F23AF" w:rsidRPr="00D667CB">
          <w:rPr>
            <w:rStyle w:val="PlaceholderText"/>
          </w:rPr>
          <w:t>[Company]</w:t>
        </w:r>
      </w:sdtContent>
    </w:sdt>
    <w:r w:rsidR="002F23AF">
      <w:tab/>
    </w:r>
    <w:r w:rsidR="00C00439" w:rsidRPr="00C00439">
      <w:t>Employee Internet Use Monitoring and Filtering Policy</w:t>
    </w:r>
    <w:r w:rsidR="00C00439">
      <w:t xml:space="preserve"> </w:t>
    </w:r>
    <w:r w:rsidR="005A69D0" w:rsidRPr="005A69D0">
      <w:t>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7AD17" w14:textId="77777777" w:rsidR="001A2B02" w:rsidRDefault="001A2B02" w:rsidP="00C34EA9">
      <w:pPr>
        <w:spacing w:after="0" w:line="240" w:lineRule="auto"/>
      </w:pPr>
      <w:r>
        <w:separator/>
      </w:r>
    </w:p>
  </w:footnote>
  <w:footnote w:type="continuationSeparator" w:id="0">
    <w:p w14:paraId="79FADCC4" w14:textId="77777777" w:rsidR="001A2B02" w:rsidRDefault="001A2B02"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65CCF"/>
    <w:multiLevelType w:val="hybridMultilevel"/>
    <w:tmpl w:val="7A80D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09216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E60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02664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317A6E"/>
    <w:multiLevelType w:val="multilevel"/>
    <w:tmpl w:val="4606E1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380107"/>
    <w:multiLevelType w:val="multilevel"/>
    <w:tmpl w:val="5824F8E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15:restartNumberingAfterBreak="0">
    <w:nsid w:val="23C87A66"/>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074080C"/>
    <w:multiLevelType w:val="hybridMultilevel"/>
    <w:tmpl w:val="850E09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11D62C9"/>
    <w:multiLevelType w:val="multilevel"/>
    <w:tmpl w:val="69460F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B57287"/>
    <w:multiLevelType w:val="multilevel"/>
    <w:tmpl w:val="770A3822"/>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49A50C85"/>
    <w:multiLevelType w:val="hybridMultilevel"/>
    <w:tmpl w:val="EC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F7EFE"/>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9E856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C1C6E1B"/>
    <w:multiLevelType w:val="hybridMultilevel"/>
    <w:tmpl w:val="C47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9B5B4C"/>
    <w:multiLevelType w:val="multilevel"/>
    <w:tmpl w:val="747C5C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5"/>
  </w:num>
  <w:num w:numId="2">
    <w:abstractNumId w:val="12"/>
  </w:num>
  <w:num w:numId="3">
    <w:abstractNumId w:val="9"/>
  </w:num>
  <w:num w:numId="4">
    <w:abstractNumId w:val="7"/>
  </w:num>
  <w:num w:numId="5">
    <w:abstractNumId w:val="0"/>
  </w:num>
  <w:num w:numId="6">
    <w:abstractNumId w:val="13"/>
  </w:num>
  <w:num w:numId="7">
    <w:abstractNumId w:val="8"/>
  </w:num>
  <w:num w:numId="8">
    <w:abstractNumId w:val="16"/>
  </w:num>
  <w:num w:numId="9">
    <w:abstractNumId w:val="4"/>
  </w:num>
  <w:num w:numId="10">
    <w:abstractNumId w:val="2"/>
  </w:num>
  <w:num w:numId="11">
    <w:abstractNumId w:val="10"/>
  </w:num>
  <w:num w:numId="12">
    <w:abstractNumId w:val="6"/>
  </w:num>
  <w:num w:numId="13">
    <w:abstractNumId w:val="5"/>
  </w:num>
  <w:num w:numId="14">
    <w:abstractNumId w:val="3"/>
  </w:num>
  <w:num w:numId="15">
    <w:abstractNumId w:val="1"/>
  </w:num>
  <w:num w:numId="16">
    <w:abstractNumId w:val="14"/>
  </w:num>
  <w:num w:numId="1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14ABE"/>
    <w:rsid w:val="00041F29"/>
    <w:rsid w:val="0005153A"/>
    <w:rsid w:val="0006692A"/>
    <w:rsid w:val="00070BDC"/>
    <w:rsid w:val="000A568C"/>
    <w:rsid w:val="000B3691"/>
    <w:rsid w:val="000B5BA9"/>
    <w:rsid w:val="000D3612"/>
    <w:rsid w:val="000D6C55"/>
    <w:rsid w:val="000E67B9"/>
    <w:rsid w:val="000F1696"/>
    <w:rsid w:val="00107933"/>
    <w:rsid w:val="0012319C"/>
    <w:rsid w:val="001536BC"/>
    <w:rsid w:val="001616F8"/>
    <w:rsid w:val="001A2B02"/>
    <w:rsid w:val="001A4F0A"/>
    <w:rsid w:val="001D4AF6"/>
    <w:rsid w:val="001E2055"/>
    <w:rsid w:val="001F3BA7"/>
    <w:rsid w:val="001F5147"/>
    <w:rsid w:val="001F6632"/>
    <w:rsid w:val="00216599"/>
    <w:rsid w:val="0022509B"/>
    <w:rsid w:val="00230514"/>
    <w:rsid w:val="002379E4"/>
    <w:rsid w:val="00255DF5"/>
    <w:rsid w:val="00263373"/>
    <w:rsid w:val="00277DEF"/>
    <w:rsid w:val="00283361"/>
    <w:rsid w:val="00287E98"/>
    <w:rsid w:val="002A071B"/>
    <w:rsid w:val="002C15F9"/>
    <w:rsid w:val="002C288C"/>
    <w:rsid w:val="002C3074"/>
    <w:rsid w:val="002C34E7"/>
    <w:rsid w:val="002F15D3"/>
    <w:rsid w:val="002F2138"/>
    <w:rsid w:val="002F23AF"/>
    <w:rsid w:val="002F2F7A"/>
    <w:rsid w:val="003036A6"/>
    <w:rsid w:val="0032074F"/>
    <w:rsid w:val="003302DC"/>
    <w:rsid w:val="00345BC7"/>
    <w:rsid w:val="00350B2F"/>
    <w:rsid w:val="0035295C"/>
    <w:rsid w:val="00363266"/>
    <w:rsid w:val="00375692"/>
    <w:rsid w:val="00381509"/>
    <w:rsid w:val="00390D16"/>
    <w:rsid w:val="003A4829"/>
    <w:rsid w:val="003A6DB0"/>
    <w:rsid w:val="003B464E"/>
    <w:rsid w:val="003C125D"/>
    <w:rsid w:val="003D5C9A"/>
    <w:rsid w:val="003F2BA7"/>
    <w:rsid w:val="003F473F"/>
    <w:rsid w:val="004077D4"/>
    <w:rsid w:val="00430C05"/>
    <w:rsid w:val="00431CB1"/>
    <w:rsid w:val="00433F24"/>
    <w:rsid w:val="00436BD1"/>
    <w:rsid w:val="004466CD"/>
    <w:rsid w:val="00461670"/>
    <w:rsid w:val="00467F47"/>
    <w:rsid w:val="00470E64"/>
    <w:rsid w:val="004736D2"/>
    <w:rsid w:val="00483082"/>
    <w:rsid w:val="004C1075"/>
    <w:rsid w:val="004D24C8"/>
    <w:rsid w:val="004E5FDD"/>
    <w:rsid w:val="004F5305"/>
    <w:rsid w:val="004F7B10"/>
    <w:rsid w:val="005005B8"/>
    <w:rsid w:val="00500621"/>
    <w:rsid w:val="00505785"/>
    <w:rsid w:val="00522C4F"/>
    <w:rsid w:val="00591DCB"/>
    <w:rsid w:val="00596D1D"/>
    <w:rsid w:val="005A41A9"/>
    <w:rsid w:val="005A69D0"/>
    <w:rsid w:val="005D2F85"/>
    <w:rsid w:val="005D32CE"/>
    <w:rsid w:val="00601DFC"/>
    <w:rsid w:val="006173E0"/>
    <w:rsid w:val="00625278"/>
    <w:rsid w:val="00673D5F"/>
    <w:rsid w:val="0067712B"/>
    <w:rsid w:val="00681416"/>
    <w:rsid w:val="006B0D32"/>
    <w:rsid w:val="006B4497"/>
    <w:rsid w:val="006B605B"/>
    <w:rsid w:val="006B632E"/>
    <w:rsid w:val="006E7411"/>
    <w:rsid w:val="006F147A"/>
    <w:rsid w:val="00712A81"/>
    <w:rsid w:val="00721FE0"/>
    <w:rsid w:val="0074432B"/>
    <w:rsid w:val="00754D25"/>
    <w:rsid w:val="00760864"/>
    <w:rsid w:val="0076091C"/>
    <w:rsid w:val="007710E3"/>
    <w:rsid w:val="00775FBA"/>
    <w:rsid w:val="0077726B"/>
    <w:rsid w:val="007848FA"/>
    <w:rsid w:val="0079759C"/>
    <w:rsid w:val="007A218D"/>
    <w:rsid w:val="007B1F3C"/>
    <w:rsid w:val="007E3C7C"/>
    <w:rsid w:val="007F1ED3"/>
    <w:rsid w:val="00801C62"/>
    <w:rsid w:val="00821F51"/>
    <w:rsid w:val="008362FE"/>
    <w:rsid w:val="00845A9F"/>
    <w:rsid w:val="00846273"/>
    <w:rsid w:val="00852221"/>
    <w:rsid w:val="00857A91"/>
    <w:rsid w:val="008669C4"/>
    <w:rsid w:val="00867CFF"/>
    <w:rsid w:val="00883CE9"/>
    <w:rsid w:val="00884FCB"/>
    <w:rsid w:val="008879FC"/>
    <w:rsid w:val="00891560"/>
    <w:rsid w:val="00894ECA"/>
    <w:rsid w:val="008C1449"/>
    <w:rsid w:val="008C68CC"/>
    <w:rsid w:val="008D2349"/>
    <w:rsid w:val="008D5868"/>
    <w:rsid w:val="008E2E19"/>
    <w:rsid w:val="008E61ED"/>
    <w:rsid w:val="008E7BFA"/>
    <w:rsid w:val="008F4712"/>
    <w:rsid w:val="009109E4"/>
    <w:rsid w:val="00912B94"/>
    <w:rsid w:val="009314A2"/>
    <w:rsid w:val="009405E9"/>
    <w:rsid w:val="009505C7"/>
    <w:rsid w:val="00962918"/>
    <w:rsid w:val="00962E73"/>
    <w:rsid w:val="00966277"/>
    <w:rsid w:val="00980E19"/>
    <w:rsid w:val="009A48BF"/>
    <w:rsid w:val="009A4E3C"/>
    <w:rsid w:val="009B30FA"/>
    <w:rsid w:val="009E0178"/>
    <w:rsid w:val="009E0CD4"/>
    <w:rsid w:val="009E4CDE"/>
    <w:rsid w:val="009F0541"/>
    <w:rsid w:val="00A11C49"/>
    <w:rsid w:val="00A12809"/>
    <w:rsid w:val="00A349E6"/>
    <w:rsid w:val="00A34B51"/>
    <w:rsid w:val="00A41243"/>
    <w:rsid w:val="00A67B6A"/>
    <w:rsid w:val="00A912D3"/>
    <w:rsid w:val="00A946D1"/>
    <w:rsid w:val="00A972BE"/>
    <w:rsid w:val="00AA4C74"/>
    <w:rsid w:val="00AC4E09"/>
    <w:rsid w:val="00AD250B"/>
    <w:rsid w:val="00AD4628"/>
    <w:rsid w:val="00B22789"/>
    <w:rsid w:val="00B532F4"/>
    <w:rsid w:val="00B60487"/>
    <w:rsid w:val="00B71EC7"/>
    <w:rsid w:val="00B94FFD"/>
    <w:rsid w:val="00B95945"/>
    <w:rsid w:val="00B96DA1"/>
    <w:rsid w:val="00B972BA"/>
    <w:rsid w:val="00BA18E6"/>
    <w:rsid w:val="00BC5B9F"/>
    <w:rsid w:val="00BD3B33"/>
    <w:rsid w:val="00BE08A5"/>
    <w:rsid w:val="00BE637A"/>
    <w:rsid w:val="00BF46A9"/>
    <w:rsid w:val="00BF6DBC"/>
    <w:rsid w:val="00C00439"/>
    <w:rsid w:val="00C02EF0"/>
    <w:rsid w:val="00C20991"/>
    <w:rsid w:val="00C24DFF"/>
    <w:rsid w:val="00C34A79"/>
    <w:rsid w:val="00C34EA9"/>
    <w:rsid w:val="00C35A1F"/>
    <w:rsid w:val="00C3649B"/>
    <w:rsid w:val="00C4199E"/>
    <w:rsid w:val="00C50558"/>
    <w:rsid w:val="00C50F7D"/>
    <w:rsid w:val="00C53157"/>
    <w:rsid w:val="00C605BE"/>
    <w:rsid w:val="00C63D9B"/>
    <w:rsid w:val="00C80CF9"/>
    <w:rsid w:val="00C83AA5"/>
    <w:rsid w:val="00C83DEA"/>
    <w:rsid w:val="00CB4129"/>
    <w:rsid w:val="00CD47AD"/>
    <w:rsid w:val="00CF3BB2"/>
    <w:rsid w:val="00D07028"/>
    <w:rsid w:val="00D54BBA"/>
    <w:rsid w:val="00D72589"/>
    <w:rsid w:val="00DA3560"/>
    <w:rsid w:val="00DD3F60"/>
    <w:rsid w:val="00DD7C65"/>
    <w:rsid w:val="00DF2FC7"/>
    <w:rsid w:val="00DF5400"/>
    <w:rsid w:val="00E02534"/>
    <w:rsid w:val="00E32930"/>
    <w:rsid w:val="00E353CD"/>
    <w:rsid w:val="00E41EC0"/>
    <w:rsid w:val="00E50BE2"/>
    <w:rsid w:val="00E5498D"/>
    <w:rsid w:val="00E63804"/>
    <w:rsid w:val="00E76459"/>
    <w:rsid w:val="00E771F7"/>
    <w:rsid w:val="00EB5DB8"/>
    <w:rsid w:val="00F00B66"/>
    <w:rsid w:val="00F01EC4"/>
    <w:rsid w:val="00F031D8"/>
    <w:rsid w:val="00F1698F"/>
    <w:rsid w:val="00F31C0C"/>
    <w:rsid w:val="00F31FFA"/>
    <w:rsid w:val="00F440AE"/>
    <w:rsid w:val="00F52C6F"/>
    <w:rsid w:val="00F659B7"/>
    <w:rsid w:val="00F911C8"/>
    <w:rsid w:val="00FB5184"/>
    <w:rsid w:val="00FC0A2E"/>
    <w:rsid w:val="00FC3583"/>
    <w:rsid w:val="00FD0B07"/>
    <w:rsid w:val="00FD3D75"/>
    <w:rsid w:val="00FD706B"/>
    <w:rsid w:val="00FE18ED"/>
    <w:rsid w:val="00FE597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246B60"/>
    <w:rsid w:val="002904A1"/>
    <w:rsid w:val="002B67C1"/>
    <w:rsid w:val="002D2137"/>
    <w:rsid w:val="003C53E9"/>
    <w:rsid w:val="00402761"/>
    <w:rsid w:val="004E2FCD"/>
    <w:rsid w:val="00994C05"/>
    <w:rsid w:val="00AB1A2F"/>
    <w:rsid w:val="00B545E7"/>
    <w:rsid w:val="00C205B3"/>
    <w:rsid w:val="00C70D61"/>
    <w:rsid w:val="00CB5948"/>
    <w:rsid w:val="00E9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2D9692727887409CB0BF71D85811DF" ma:contentTypeVersion="16" ma:contentTypeDescription="Create a new document." ma:contentTypeScope="" ma:versionID="8a820984365c7165a61eabdcc586e38b">
  <xsd:schema xmlns:xsd="http://www.w3.org/2001/XMLSchema" xmlns:xs="http://www.w3.org/2001/XMLSchema" xmlns:p="http://schemas.microsoft.com/office/2006/metadata/properties" xmlns:ns2="f09253ef-3130-49e5-b7fc-1afc3bffd060" xmlns:ns3="35fd29fe-65c7-4836-8ecb-1e4e3400f5b1" targetNamespace="http://schemas.microsoft.com/office/2006/metadata/properties" ma:root="true" ma:fieldsID="4afa164b33bdd20768894d995a89a531" ns2:_="" ns3:_="">
    <xsd:import namespace="f09253ef-3130-49e5-b7fc-1afc3bffd060"/>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53ef-3130-49e5-b7fc-1afc3bffd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f09253ef-3130-49e5-b7fc-1afc3bffd0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276750-A426-46FC-B52F-3932A4B0469D}">
  <ds:schemaRefs>
    <ds:schemaRef ds:uri="http://schemas.microsoft.com/sharepoint/v3/contenttype/forms"/>
  </ds:schemaRefs>
</ds:datastoreItem>
</file>

<file path=customXml/itemProps3.xml><?xml version="1.0" encoding="utf-8"?>
<ds:datastoreItem xmlns:ds="http://schemas.openxmlformats.org/officeDocument/2006/customXml" ds:itemID="{4D26934A-C3A6-4BF1-9E5A-354F0EF1B59C}"/>
</file>

<file path=customXml/itemProps4.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5.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15</cp:revision>
  <dcterms:created xsi:type="dcterms:W3CDTF">2021-02-04T15:58:00Z</dcterms:created>
  <dcterms:modified xsi:type="dcterms:W3CDTF">2021-02-04T18:24:00Z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